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64CF1" w:rsidRPr="006B182F" w:rsidP="006B182F" w14:paraId="7BE962A3" w14:textId="77777777">
      <w:pPr>
        <w:spacing w:before="0"/>
        <w:rPr>
          <w:rFonts w:ascii="Tahoma" w:hAnsi="Tahoma" w:cs="Tahoma"/>
          <w:b/>
          <w:color w:val="000000" w:themeColor="text1"/>
          <w:sz w:val="20"/>
          <w:szCs w:val="20"/>
        </w:rPr>
      </w:pPr>
    </w:p>
    <w:p w:rsidR="00164CF1" w:rsidRPr="006B182F" w:rsidP="00164CF1" w14:paraId="0503C56A"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36.HAFTA</w:t>
      </w:r>
      <w:r w:rsidRPr="006B182F">
        <w:rPr>
          <w:rFonts w:ascii="Andika" w:hAnsi="Andika" w:cs="Andika"/>
          <w:b/>
          <w:color w:val="FF0000"/>
          <w:sz w:val="20"/>
          <w:szCs w:val="20"/>
        </w:rPr>
        <w:t>)</w:t>
      </w:r>
      <w:r>
        <w:rPr>
          <w:rFonts w:ascii="Andika" w:hAnsi="Andika" w:cs="Andika"/>
          <w:b/>
          <w:color w:val="FF0000"/>
          <w:sz w:val="20"/>
          <w:szCs w:val="20"/>
        </w:rPr>
        <w:t xml:space="preserve">                                                                                                                                                                  </w:t>
      </w:r>
      <w:r w:rsidR="000504CE">
        <w:rPr>
          <w:rFonts w:ascii="Andika" w:hAnsi="Andika" w:cs="Andika"/>
          <w:b/>
          <w:color w:val="000000" w:themeColor="text1"/>
          <w:sz w:val="20"/>
          <w:szCs w:val="20"/>
        </w:rPr>
        <w:t>14-18</w:t>
      </w:r>
      <w:r>
        <w:rPr>
          <w:rFonts w:ascii="Andika" w:hAnsi="Andika" w:cs="Andika"/>
          <w:b/>
          <w:color w:val="000000" w:themeColor="text1"/>
          <w:sz w:val="20"/>
          <w:szCs w:val="20"/>
        </w:rPr>
        <w:t xml:space="preserve"> HAZİRAN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6ED0DC72"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61971451"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1F52F6E8"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09689EA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6C2281D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12FEC908"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48FACA47"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29246BA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Sanat Eleştirisi ve Estetik</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32D46B3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7F3B98B3"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Hayvanat Bahçesi</w:t>
            </w:r>
          </w:p>
        </w:tc>
      </w:tr>
    </w:tbl>
    <w:p w:rsidR="00E05C84" w:rsidRPr="006B182F" w:rsidP="006B182F" w14:paraId="7DB19AE7"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7F8C405B"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09B414E8" w14:textId="77777777">
            <w:pPr>
              <w:rPr>
                <w:rFonts w:ascii="Tahoma" w:hAnsi="Tahoma" w:cs="Tahoma"/>
                <w:color w:val="000000" w:themeColor="text1"/>
                <w:sz w:val="20"/>
                <w:szCs w:val="20"/>
              </w:rPr>
            </w:pPr>
            <w:r w:rsidRPr="006B182F">
              <w:rPr>
                <w:rFonts w:ascii="Tahoma" w:hAnsi="Tahoma" w:cs="Tahoma"/>
                <w:color w:val="000000" w:themeColor="text1"/>
                <w:sz w:val="20"/>
                <w:szCs w:val="20"/>
              </w:rPr>
              <w:t>G.4.3.4. Görsel sanat alanındaki etik kurallara uyar.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184B7A21"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17058E9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2124A9" w14:paraId="14C65EE1"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2124A9">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2124A9">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2124A9">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37C0EA80"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66FAF244" w14:textId="77777777">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Tr="006B182F">
        <w:tblPrEx>
          <w:tblW w:w="10125" w:type="dxa"/>
          <w:tblLayout w:type="fixed"/>
          <w:tblLook w:val="0000"/>
        </w:tblPrEx>
        <w:trPr>
          <w:trHeight w:val="571"/>
        </w:trPr>
        <w:tc>
          <w:tcPr>
            <w:tcW w:w="2821" w:type="dxa"/>
            <w:tcBorders>
              <w:left w:val="single" w:sz="8" w:space="0" w:color="auto"/>
            </w:tcBorders>
            <w:vAlign w:val="center"/>
          </w:tcPr>
          <w:p w:rsidR="00E05C84" w:rsidRPr="006B182F" w:rsidP="006B182F" w14:paraId="65139E72"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35BC8895"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6B182F">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734F6ABB"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6B182F">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05C84" w:rsidRPr="006B182F" w:rsidP="00164CF1" w14:paraId="28953B9B" w14:textId="77777777">
            <w:pPr>
              <w:pStyle w:val="ListParagraph"/>
              <w:numPr>
                <w:ilvl w:val="0"/>
                <w:numId w:val="2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rsidR="00E05C84" w:rsidRPr="006B182F" w:rsidP="00164CF1" w14:paraId="763D5B68" w14:textId="77777777">
            <w:pPr>
              <w:pStyle w:val="ListParagraph"/>
              <w:numPr>
                <w:ilvl w:val="0"/>
                <w:numId w:val="2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Çalışma esnasında arkadaşının yaptığı çalışmayı kopya etmemesi gerektiği, onun çalışmasına saygı duyması gerektiği hakkında konuşulur.</w:t>
            </w:r>
          </w:p>
        </w:tc>
      </w:tr>
    </w:tbl>
    <w:p w:rsidR="00E05C84" w:rsidRPr="006B182F" w:rsidP="006B182F" w14:paraId="15525FEF" w14:textId="77777777">
      <w:pPr>
        <w:pStyle w:val="Heading6"/>
        <w:ind w:firstLine="180"/>
        <w:rPr>
          <w:rFonts w:ascii="Tahoma" w:hAnsi="Tahoma" w:cs="Tahoma"/>
          <w:color w:val="000000" w:themeColor="text1"/>
          <w:sz w:val="20"/>
        </w:rPr>
      </w:pPr>
    </w:p>
    <w:p w:rsidR="00E05C84" w:rsidRPr="006B182F" w:rsidP="006B182F" w14:paraId="40DAE20E"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6B182F">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54E75092"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2124A9" w14:paraId="04955536"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0B9E9DE4"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P="006B182F" w14:paraId="11911B31"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P="006B182F" w14:paraId="726AB9AC" w14:textId="77777777">
      <w:pPr>
        <w:pStyle w:val="Heading6"/>
        <w:ind w:firstLine="180"/>
        <w:rPr>
          <w:rFonts w:ascii="Tahoma" w:hAnsi="Tahoma" w:cs="Tahoma"/>
          <w:color w:val="000000" w:themeColor="text1"/>
          <w:sz w:val="20"/>
        </w:rPr>
      </w:pPr>
    </w:p>
    <w:p w:rsidR="00E05C84" w:rsidRPr="006B182F" w:rsidP="006B182F" w14:paraId="066670A3"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6B182F">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73F861E2"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458437EB"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0C5DF96B" w14:textId="77777777">
            <w:pPr>
              <w:rPr>
                <w:rFonts w:ascii="Tahoma" w:hAnsi="Tahoma" w:cs="Tahoma"/>
                <w:color w:val="000000" w:themeColor="text1"/>
                <w:sz w:val="20"/>
                <w:szCs w:val="20"/>
              </w:rPr>
            </w:pPr>
            <w:r w:rsidRPr="006B182F">
              <w:rPr>
                <w:rFonts w:ascii="Tahoma" w:hAnsi="Tahoma" w:cs="Tahoma"/>
                <w:color w:val="000000" w:themeColor="text1"/>
                <w:sz w:val="20"/>
                <w:szCs w:val="20"/>
              </w:rPr>
              <w:t>Öğrenciye sanat alanındaki etik kurallara ilişkin olarak başkasına ait eserlerin kopyalanmaması, akran değerlendirmesinde nesnel davranılması, çalışmaların bir başkasına yaptırılmaması gerektiği vurgulanmalıdır.</w:t>
            </w:r>
          </w:p>
        </w:tc>
      </w:tr>
    </w:tbl>
    <w:p w:rsidR="00E05C84" w:rsidRPr="006B182F" w:rsidP="006B182F" w14:paraId="2E5AD585"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sectPr w:rsidSect="00386D78">
      <w:pgSz w:w="11906" w:h="16838"/>
      <w:pgMar w:top="851" w:right="1417" w:bottom="567" w:left="1417" w:header="283" w:footer="283"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3"/>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